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567CD">
      <w:pPr>
        <w:pStyle w:val="9"/>
        <w:keepNext w:val="0"/>
        <w:keepLines w:val="0"/>
        <w:pageBreakBefore w:val="0"/>
        <w:widowControl w:val="0"/>
        <w:suppressLineNumbers w:val="0"/>
        <w:kinsoku/>
        <w:wordWrap/>
        <w:overflowPunct/>
        <w:topLinePunct w:val="0"/>
        <w:autoSpaceDN/>
        <w:bidi w:val="0"/>
        <w:adjustRightInd/>
        <w:snapToGrid/>
        <w:spacing w:before="0" w:beforeAutospacing="0" w:after="0" w:line="360" w:lineRule="auto"/>
        <w:ind w:right="0" w:firstLine="482" w:firstLineChars="200"/>
        <w:jc w:val="center"/>
        <w:textAlignment w:val="auto"/>
        <w:rPr>
          <w:rFonts w:hint="default" w:ascii="Times New Roman" w:hAnsi="Times New Roman" w:eastAsia="宋体" w:cs="Times New Roman"/>
          <w:b/>
          <w:bCs/>
          <w:kern w:val="0"/>
          <w:sz w:val="24"/>
          <w:szCs w:val="24"/>
        </w:rPr>
      </w:pPr>
      <w:r>
        <w:rPr>
          <w:rFonts w:hint="default" w:ascii="Times New Roman" w:hAnsi="Times New Roman" w:eastAsia="宋体" w:cs="Times New Roman"/>
          <w:b/>
          <w:bCs/>
          <w:kern w:val="0"/>
          <w:sz w:val="24"/>
          <w:szCs w:val="24"/>
        </w:rPr>
        <w:t>A Ray of Light for Diabetes: Applying the STEP + CICARE Model in Diabetes Health Education and My Reflections</w:t>
      </w:r>
    </w:p>
    <w:p w14:paraId="49CD2FE6">
      <w:pPr>
        <w:pStyle w:val="9"/>
        <w:keepNext w:val="0"/>
        <w:keepLines w:val="0"/>
        <w:pageBreakBefore w:val="0"/>
        <w:widowControl w:val="0"/>
        <w:suppressLineNumbers w:val="0"/>
        <w:kinsoku/>
        <w:wordWrap/>
        <w:overflowPunct/>
        <w:topLinePunct w:val="0"/>
        <w:autoSpaceDN/>
        <w:bidi w:val="0"/>
        <w:adjustRightInd/>
        <w:snapToGrid/>
        <w:spacing w:before="0" w:beforeAutospacing="0" w:after="0" w:line="360" w:lineRule="auto"/>
        <w:ind w:right="0" w:firstLine="480" w:firstLineChars="200"/>
        <w:jc w:val="center"/>
        <w:textAlignment w:val="auto"/>
        <w:rPr>
          <w:rFonts w:hint="default" w:ascii="Times New Roman" w:hAnsi="Times New Roman" w:eastAsia="宋体" w:cs="Times New Roman"/>
          <w:b w:val="0"/>
          <w:bCs w:val="0"/>
          <w:color w:val="000000"/>
          <w:spacing w:val="0"/>
          <w:w w:val="100"/>
          <w:kern w:val="2"/>
          <w:sz w:val="24"/>
          <w:szCs w:val="24"/>
        </w:rPr>
      </w:pPr>
      <w:r>
        <w:rPr>
          <w:rFonts w:hint="default" w:ascii="Times New Roman" w:hAnsi="Times New Roman" w:eastAsia="Segoe UI" w:cs="Times New Roman"/>
          <w:b w:val="0"/>
          <w:bCs w:val="0"/>
          <w:i w:val="0"/>
          <w:iCs w:val="0"/>
          <w:caps w:val="0"/>
          <w:color w:val="0F1115"/>
          <w:spacing w:val="0"/>
          <w:sz w:val="24"/>
          <w:szCs w:val="24"/>
          <w:shd w:val="clear" w:fill="FFFFFF"/>
        </w:rPr>
        <w:t>Guo Yaqiong</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522"/>
      </w:tblGrid>
      <w:tr w14:paraId="32E58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shd w:val="clear" w:color="auto" w:fill="auto"/>
            <w:vAlign w:val="top"/>
          </w:tcPr>
          <w:p w14:paraId="1D6A77EC">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Yaqiong is a graduate nursing student. During her two-month internship in the endocrinology department, she saw how important self-management is for diabetes patients. Diabetes is a chronic disease, and its treatment depends not only on short-term hospital care but even more on what patients do at home after discharge. However, many patients know very little about how to manage their condition. This knowledge gap directly weakens their self-management skills and adherence to treatment. Faced with this challenge, the author used a research mindset. She reviewed the literature, identified problems in diabetes patient education, and looked for evidence-based solutions. She then designed and carried out a series of patient-centered health education measures.</w:t>
            </w:r>
          </w:p>
          <w:p w14:paraId="2CA64CAE">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rPr>
            </w:pPr>
            <w:r>
              <w:rPr>
                <w:rFonts w:hint="default" w:ascii="Times New Roman" w:hAnsi="Times New Roman" w:eastAsia="宋体" w:cs="Times New Roman"/>
                <w:b w:val="0"/>
                <w:bCs w:val="0"/>
                <w:kern w:val="2"/>
                <w:sz w:val="24"/>
                <w:szCs w:val="24"/>
                <w:lang w:val="en-US" w:eastAsia="zh-CN" w:bidi="ar"/>
              </w:rPr>
              <w:t>Her practice reflects a patient-centered care philosophy. She rejected spoon-feeding education and got patients involved in their own health education. This effectively improved patients’ understanding of diabetes and their ability to manage it. It also helped move health education forward.</w:t>
            </w:r>
          </w:p>
        </w:tc>
      </w:tr>
    </w:tbl>
    <w:p w14:paraId="19B8040F">
      <w:pPr>
        <w:pStyle w:val="4"/>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 xml:space="preserve"> During my two-month internship in the endocrinology department, I found it to be a rather special place. Most of the inpatients had diabetes. Diabetes cannot be cured. It can only be controlled, or its progress slowed, through diet, exercise, and medication, which then lowers the rate of complications</w:t>
      </w:r>
      <w:r>
        <w:rPr>
          <w:rFonts w:hint="default" w:ascii="Times New Roman" w:hAnsi="Times New Roman" w:eastAsia="宋体" w:cs="Times New Roman"/>
          <w:b w:val="0"/>
          <w:bCs w:val="0"/>
          <w:kern w:val="2"/>
          <w:sz w:val="24"/>
          <w:szCs w:val="24"/>
          <w:vertAlign w:val="superscript"/>
          <w:lang w:val="en-US" w:eastAsia="zh-CN" w:bidi="ar"/>
        </w:rPr>
        <w:t>[1]</w:t>
      </w:r>
      <w:r>
        <w:rPr>
          <w:rFonts w:hint="default" w:ascii="Times New Roman" w:hAnsi="Times New Roman" w:eastAsia="宋体" w:cs="Times New Roman"/>
          <w:b w:val="0"/>
          <w:bCs w:val="0"/>
          <w:kern w:val="2"/>
          <w:sz w:val="24"/>
          <w:szCs w:val="24"/>
          <w:lang w:val="en-US" w:eastAsia="zh-CN" w:bidi="ar"/>
        </w:rPr>
        <w:t xml:space="preserve">. The nature of this disease means that self-management at home matters most. After all, hospital stays are short, and doctors and nurses cannot follow patients around all the time. While talking with patients every day, I noticed that the vast majority knew very little about diabetes. Many of them did not understand the disease, whether they had only a primary school education or a college degree. Yet at the same time, they were eager for someone to tell them what to do and what to watch out for. I also found that many saw diabetes simply as a </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rich man's disease,</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 xml:space="preserve"> </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a disease you eat yourself into,</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 xml:space="preserve"> or </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a disease where you can</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t eat anything.</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 xml:space="preserve"> These patients had weak self-management skills and poor adherence. If I reflect on why, the main reason was that they did not understand the disease, so they did not take it seriously. Therefore, helping patients understand diabetes and learn self-management is extremely important. However, many nurses still use </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spoon-feeding</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 xml:space="preserve"> education. They talk at length, but patients do not really understand. For diabetes, health education can make or break the treatment</w:t>
      </w:r>
      <w:r>
        <w:rPr>
          <w:rFonts w:hint="default" w:ascii="Times New Roman" w:hAnsi="Times New Roman" w:eastAsia="宋体" w:cs="Times New Roman"/>
          <w:b w:val="0"/>
          <w:bCs w:val="0"/>
          <w:kern w:val="2"/>
          <w:sz w:val="24"/>
          <w:szCs w:val="24"/>
          <w:vertAlign w:val="superscript"/>
          <w:lang w:val="en-US" w:eastAsia="zh-CN" w:bidi="ar"/>
        </w:rPr>
        <w:t>[2]</w:t>
      </w:r>
      <w:r>
        <w:rPr>
          <w:rFonts w:hint="default" w:ascii="Times New Roman" w:hAnsi="Times New Roman" w:eastAsia="宋体" w:cs="Times New Roman"/>
          <w:b w:val="0"/>
          <w:bCs w:val="0"/>
          <w:kern w:val="2"/>
          <w:sz w:val="24"/>
          <w:szCs w:val="24"/>
          <w:lang w:val="en-US" w:eastAsia="zh-CN" w:bidi="ar"/>
        </w:rPr>
        <w:t>. I wanted to change the health education model during my endocrinology internship to improve patients</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 xml:space="preserve"> knowledge and self-management and to improve their quality of life. So I reviewed the relevant literature and then reflected more deeply on my nursing practice.</w:t>
      </w:r>
    </w:p>
    <w:p w14:paraId="26361054">
      <w:pPr>
        <w:pStyle w:val="4"/>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left="0" w:right="0" w:firstLine="482" w:firstLineChars="200"/>
        <w:jc w:val="both"/>
        <w:textAlignment w:val="auto"/>
        <w:rPr>
          <w:rFonts w:hint="default" w:ascii="Times New Roman" w:hAnsi="Times New Roman" w:eastAsia="宋体" w:cs="Times New Roman"/>
          <w:b/>
          <w:bCs/>
          <w:kern w:val="2"/>
          <w:sz w:val="24"/>
          <w:szCs w:val="24"/>
          <w:lang w:val="en-US" w:eastAsia="zh-CN" w:bidi="ar"/>
        </w:rPr>
      </w:pPr>
      <w:r>
        <w:rPr>
          <w:rFonts w:hint="default" w:ascii="Times New Roman" w:hAnsi="Times New Roman" w:eastAsia="宋体" w:cs="Times New Roman"/>
          <w:b/>
          <w:bCs/>
          <w:kern w:val="2"/>
          <w:sz w:val="24"/>
          <w:szCs w:val="24"/>
          <w:lang w:val="en-US" w:eastAsia="zh-CN" w:bidi="ar"/>
        </w:rPr>
        <w:t>1. Applying the Structured Education Model in Diabetes Health Education</w:t>
      </w:r>
    </w:p>
    <w:p w14:paraId="227175C2">
      <w:pPr>
        <w:pStyle w:val="4"/>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 xml:space="preserve">Clinically, diabetes management is often described as the </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five carriages</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 health education, diet, exercise, medication, and self-monitoring. The content of these five carriages is extensive. How to teach this knowledge with the right focus during a patient's short hospital stay is a real challenge. I reviewed many studies and also considered my own research direction—the Structured Therapeutic Educational Program (STEP). I learned that current Chinese and international diabetes guidelines recommend structured diabetes programs as the preferred approach to health education</w:t>
      </w:r>
      <w:r>
        <w:rPr>
          <w:rFonts w:hint="default" w:ascii="Times New Roman" w:hAnsi="Times New Roman" w:eastAsia="宋体" w:cs="Times New Roman"/>
          <w:b w:val="0"/>
          <w:bCs w:val="0"/>
          <w:kern w:val="2"/>
          <w:sz w:val="24"/>
          <w:szCs w:val="24"/>
          <w:vertAlign w:val="superscript"/>
          <w:lang w:val="en-US" w:eastAsia="zh-CN" w:bidi="ar"/>
        </w:rPr>
        <w:t>[3]</w:t>
      </w:r>
      <w:r>
        <w:rPr>
          <w:rFonts w:hint="default" w:ascii="Times New Roman" w:hAnsi="Times New Roman" w:eastAsia="宋体" w:cs="Times New Roman"/>
          <w:b w:val="0"/>
          <w:bCs w:val="0"/>
          <w:kern w:val="2"/>
          <w:sz w:val="24"/>
          <w:szCs w:val="24"/>
          <w:lang w:val="en-US" w:eastAsia="zh-CN" w:bidi="ar"/>
        </w:rPr>
        <w:t>. The STEP model considers the patients</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 xml:space="preserve"> treatment and psychological needs, their educational level, and their cultural background. It selects the most important educational content and then delivers it in a planned, step-by-step way</w:t>
      </w:r>
      <w:r>
        <w:rPr>
          <w:rFonts w:hint="default" w:ascii="Times New Roman" w:hAnsi="Times New Roman" w:eastAsia="宋体" w:cs="Times New Roman"/>
          <w:b w:val="0"/>
          <w:bCs w:val="0"/>
          <w:kern w:val="2"/>
          <w:sz w:val="24"/>
          <w:szCs w:val="24"/>
          <w:vertAlign w:val="superscript"/>
          <w:lang w:val="en-US" w:eastAsia="zh-CN" w:bidi="ar"/>
        </w:rPr>
        <w:t>[4]</w:t>
      </w:r>
      <w:r>
        <w:rPr>
          <w:rFonts w:hint="default" w:ascii="Times New Roman" w:hAnsi="Times New Roman" w:eastAsia="宋体" w:cs="Times New Roman"/>
          <w:b w:val="0"/>
          <w:bCs w:val="0"/>
          <w:kern w:val="2"/>
          <w:sz w:val="24"/>
          <w:szCs w:val="24"/>
          <w:lang w:val="en-US" w:eastAsia="zh-CN" w:bidi="ar"/>
        </w:rPr>
        <w:t>. I believed this model could improve how health education was done on the ward, so I carried out a related practical activity in the department.</w:t>
      </w:r>
    </w:p>
    <w:p w14:paraId="48DEBBD3">
      <w:pPr>
        <w:pStyle w:val="4"/>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left="0" w:right="0" w:firstLine="482" w:firstLineChars="200"/>
        <w:jc w:val="both"/>
        <w:textAlignment w:val="auto"/>
        <w:rPr>
          <w:rFonts w:hint="default" w:ascii="Times New Roman" w:hAnsi="Times New Roman" w:eastAsia="宋体" w:cs="Times New Roman"/>
          <w:b/>
          <w:bCs/>
          <w:kern w:val="2"/>
          <w:sz w:val="24"/>
          <w:szCs w:val="24"/>
          <w:lang w:val="en-US" w:eastAsia="zh-CN" w:bidi="ar"/>
        </w:rPr>
      </w:pPr>
      <w:r>
        <w:rPr>
          <w:rFonts w:hint="default" w:ascii="Times New Roman" w:hAnsi="Times New Roman" w:eastAsia="宋体" w:cs="Times New Roman"/>
          <w:b/>
          <w:bCs/>
          <w:kern w:val="2"/>
          <w:sz w:val="24"/>
          <w:szCs w:val="24"/>
          <w:lang w:val="en-US" w:eastAsia="zh-CN" w:bidi="ar"/>
        </w:rPr>
        <w:t>2. Applying the Structured Education + Process-based Communication Model in Diabetes Health Education</w:t>
      </w:r>
    </w:p>
    <w:p w14:paraId="582F270C">
      <w:pPr>
        <w:pStyle w:val="4"/>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 xml:space="preserve">I chose three type 2 diabetes inpatients using insulin, all admitted on the same day, as the experimental group. I randomly selected another three type 2 diabetes inpatients, also using insulin and admitted at the same time, as the control group. To avoid </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contamination,</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 xml:space="preserve"> the two groups stayed in different rooms. I used the structured treatment and education program for type 2 diabetes patients designed by Professor Li Mingzi's team</w:t>
      </w:r>
      <w:r>
        <w:rPr>
          <w:rFonts w:hint="default" w:ascii="Times New Roman" w:hAnsi="Times New Roman" w:eastAsia="宋体" w:cs="Times New Roman"/>
          <w:b w:val="0"/>
          <w:bCs w:val="0"/>
          <w:kern w:val="2"/>
          <w:sz w:val="24"/>
          <w:szCs w:val="24"/>
          <w:vertAlign w:val="superscript"/>
          <w:lang w:val="en-US" w:eastAsia="zh-CN" w:bidi="ar"/>
        </w:rPr>
        <w:t>[5]</w:t>
      </w:r>
      <w:r>
        <w:rPr>
          <w:rFonts w:hint="default" w:ascii="Times New Roman" w:hAnsi="Times New Roman" w:eastAsia="宋体" w:cs="Times New Roman"/>
          <w:b w:val="0"/>
          <w:bCs w:val="0"/>
          <w:kern w:val="2"/>
          <w:sz w:val="24"/>
          <w:szCs w:val="24"/>
          <w:lang w:val="en-US" w:eastAsia="zh-CN" w:bidi="ar"/>
        </w:rPr>
        <w:t xml:space="preserve"> (see Table 3-1). I first assessed the three patients' current health education situation and problems. The four sessions were delivered as one-on-one bedside education over four days. I led the education, tailoring it to each patient</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s individual needs. The evaluation indicator was the patients</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 xml:space="preserve"> six-point daily blood glucose values.</w:t>
      </w:r>
    </w:p>
    <w:p w14:paraId="4902D4E5">
      <w:pPr>
        <w:bidi w:val="0"/>
        <w:jc w:val="center"/>
        <w:rPr>
          <w:rFonts w:hint="default"/>
          <w:lang w:val="en-US" w:eastAsia="zh-CN"/>
        </w:rPr>
      </w:pPr>
      <w:r>
        <w:rPr>
          <w:rFonts w:hint="default" w:ascii="Times New Roman" w:hAnsi="Times New Roman" w:eastAsia="宋体" w:cs="Times New Roman"/>
          <w:b w:val="0"/>
          <w:bCs w:val="0"/>
          <w:kern w:val="2"/>
          <w:sz w:val="24"/>
          <w:szCs w:val="24"/>
          <w:lang w:val="en-US" w:eastAsia="zh-CN" w:bidi="ar"/>
        </w:rPr>
        <w:t>Table 3-1 Objectives and  contents of the STEP</w:t>
      </w:r>
      <w:r>
        <w:rPr>
          <w:rFonts w:hint="default" w:ascii="Times New Roman" w:hAnsi="Times New Roman" w:eastAsia="宋体" w:cs="Times New Roman"/>
          <w:b w:val="0"/>
          <w:bCs w:val="0"/>
          <w:kern w:val="2"/>
          <w:sz w:val="24"/>
          <w:szCs w:val="24"/>
          <w:vertAlign w:val="superscript"/>
          <w:lang w:val="en-US" w:eastAsia="zh-CN" w:bidi="ar"/>
        </w:rPr>
        <w:t>[6]</w:t>
      </w:r>
    </w:p>
    <w:tbl>
      <w:tblPr>
        <w:tblStyle w:val="6"/>
        <w:tblpPr w:leftFromText="180" w:rightFromText="180" w:vertAnchor="text" w:horzAnchor="page" w:tblpXSpec="center" w:tblpY="464"/>
        <w:tblOverlap w:val="never"/>
        <w:tblW w:w="8550" w:type="dxa"/>
        <w:jc w:val="center"/>
        <w:tblBorders>
          <w:top w:val="single" w:color="auto" w:sz="8" w:space="0"/>
          <w:left w:val="none" w:color="auto" w:sz="4" w:space="0"/>
          <w:bottom w:val="single" w:color="auto" w:sz="8" w:space="0"/>
          <w:right w:val="non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65"/>
        <w:gridCol w:w="2006"/>
        <w:gridCol w:w="5179"/>
      </w:tblGrid>
      <w:tr w14:paraId="27CD6168">
        <w:tblPrEx>
          <w:tblBorders>
            <w:top w:val="single" w:color="auto" w:sz="8" w:space="0"/>
            <w:left w:val="none" w:color="auto" w:sz="4" w:space="0"/>
            <w:bottom w:val="single" w:color="auto" w:sz="8" w:space="0"/>
            <w:right w:val="non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0" w:hRule="atLeast"/>
          <w:jc w:val="center"/>
        </w:trPr>
        <w:tc>
          <w:tcPr>
            <w:tcW w:w="1365" w:type="dxa"/>
            <w:tcBorders>
              <w:top w:val="single" w:color="auto" w:sz="8" w:space="0"/>
              <w:left w:val="nil"/>
              <w:bottom w:val="single" w:color="auto" w:sz="8" w:space="0"/>
              <w:right w:val="nil"/>
            </w:tcBorders>
            <w:shd w:val="clear" w:color="auto" w:fill="auto"/>
            <w:vAlign w:val="center"/>
          </w:tcPr>
          <w:p w14:paraId="7BFC9F3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STEP</w:t>
            </w:r>
          </w:p>
        </w:tc>
        <w:tc>
          <w:tcPr>
            <w:tcW w:w="2006" w:type="dxa"/>
            <w:tcBorders>
              <w:top w:val="single" w:color="auto" w:sz="8" w:space="0"/>
              <w:left w:val="nil"/>
              <w:bottom w:val="single" w:color="auto" w:sz="8" w:space="0"/>
              <w:right w:val="nil"/>
            </w:tcBorders>
            <w:shd w:val="clear" w:color="auto" w:fill="auto"/>
            <w:vAlign w:val="center"/>
          </w:tcPr>
          <w:p w14:paraId="53AA671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Course Content</w:t>
            </w:r>
          </w:p>
        </w:tc>
        <w:tc>
          <w:tcPr>
            <w:tcW w:w="5179" w:type="dxa"/>
            <w:tcBorders>
              <w:top w:val="single" w:color="auto" w:sz="8" w:space="0"/>
              <w:left w:val="nil"/>
              <w:bottom w:val="single" w:color="auto" w:sz="8" w:space="0"/>
              <w:right w:val="nil"/>
            </w:tcBorders>
            <w:shd w:val="clear" w:color="auto" w:fill="auto"/>
            <w:vAlign w:val="center"/>
          </w:tcPr>
          <w:p w14:paraId="1B7BFB2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Course Objectives</w:t>
            </w:r>
          </w:p>
        </w:tc>
      </w:tr>
      <w:tr w14:paraId="283F3ACD">
        <w:tblPrEx>
          <w:tblBorders>
            <w:top w:val="single" w:color="auto" w:sz="8" w:space="0"/>
            <w:left w:val="none" w:color="auto" w:sz="4" w:space="0"/>
            <w:bottom w:val="single" w:color="auto" w:sz="8" w:space="0"/>
            <w:right w:val="non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26" w:hRule="atLeast"/>
          <w:jc w:val="center"/>
        </w:trPr>
        <w:tc>
          <w:tcPr>
            <w:tcW w:w="1365" w:type="dxa"/>
            <w:tcBorders>
              <w:top w:val="single" w:color="auto" w:sz="8" w:space="0"/>
              <w:left w:val="nil"/>
              <w:bottom w:val="nil"/>
              <w:right w:val="nil"/>
            </w:tcBorders>
            <w:shd w:val="clear" w:color="auto" w:fill="auto"/>
            <w:vAlign w:val="center"/>
          </w:tcPr>
          <w:p w14:paraId="409CC36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宋体" w:cs="Times New Roman"/>
                <w:b w:val="0"/>
                <w:bCs w:val="0"/>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Session 1</w:t>
            </w:r>
          </w:p>
        </w:tc>
        <w:tc>
          <w:tcPr>
            <w:tcW w:w="2006" w:type="dxa"/>
            <w:tcBorders>
              <w:top w:val="single" w:color="auto" w:sz="8" w:space="0"/>
              <w:left w:val="nil"/>
              <w:bottom w:val="nil"/>
              <w:right w:val="nil"/>
            </w:tcBorders>
            <w:shd w:val="clear" w:color="auto" w:fill="auto"/>
            <w:vAlign w:val="center"/>
          </w:tcPr>
          <w:p w14:paraId="6F44515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宋体" w:cs="Times New Roman"/>
                <w:b w:val="0"/>
                <w:bCs w:val="0"/>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What is diabetes; Insulin therapy; Hypoglycemia prevention and treatment</w:t>
            </w:r>
          </w:p>
        </w:tc>
        <w:tc>
          <w:tcPr>
            <w:tcW w:w="5179" w:type="dxa"/>
            <w:tcBorders>
              <w:top w:val="single" w:color="auto" w:sz="8" w:space="0"/>
              <w:left w:val="nil"/>
              <w:bottom w:val="nil"/>
              <w:right w:val="nil"/>
            </w:tcBorders>
            <w:shd w:val="clear" w:color="auto" w:fill="auto"/>
            <w:vAlign w:val="center"/>
          </w:tcPr>
          <w:p w14:paraId="4D9E4C1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宋体" w:cs="Times New Roman"/>
                <w:b w:val="0"/>
                <w:bCs w:val="0"/>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Able to state the signs of high blood glucose; Able to state the signs of low blood glucose; Able to recognize the dangers of diabetes; Able to clarify the appropriate blood glucose control range for oneself; Able to distinguish types of insulin; Able to explain how insulin lowers blood glucose; Able to correctly perform an insulin injection; Able to state the signs of hypoglycemia; Able to treat hypoglycemia; Able to give examples of causes of hypoglycemia</w:t>
            </w:r>
          </w:p>
        </w:tc>
      </w:tr>
      <w:tr w14:paraId="7F0EE430">
        <w:tblPrEx>
          <w:tblBorders>
            <w:top w:val="single" w:color="auto" w:sz="8" w:space="0"/>
            <w:left w:val="none" w:color="auto" w:sz="4" w:space="0"/>
            <w:bottom w:val="single" w:color="auto" w:sz="8" w:space="0"/>
            <w:right w:val="non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64" w:hRule="atLeast"/>
          <w:jc w:val="center"/>
        </w:trPr>
        <w:tc>
          <w:tcPr>
            <w:tcW w:w="1365" w:type="dxa"/>
            <w:tcBorders>
              <w:top w:val="nil"/>
              <w:left w:val="nil"/>
              <w:bottom w:val="nil"/>
              <w:right w:val="nil"/>
            </w:tcBorders>
            <w:shd w:val="clear" w:color="auto" w:fill="auto"/>
            <w:vAlign w:val="center"/>
          </w:tcPr>
          <w:p w14:paraId="4DD676E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宋体" w:cs="Times New Roman"/>
                <w:b w:val="0"/>
                <w:bCs w:val="0"/>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Session 2</w:t>
            </w:r>
          </w:p>
        </w:tc>
        <w:tc>
          <w:tcPr>
            <w:tcW w:w="2006" w:type="dxa"/>
            <w:tcBorders>
              <w:top w:val="nil"/>
              <w:left w:val="nil"/>
              <w:bottom w:val="nil"/>
              <w:right w:val="nil"/>
            </w:tcBorders>
            <w:shd w:val="clear" w:color="auto" w:fill="auto"/>
            <w:vAlign w:val="center"/>
          </w:tcPr>
          <w:p w14:paraId="4DF65A8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宋体" w:cs="Times New Roman"/>
                <w:b w:val="0"/>
                <w:bCs w:val="0"/>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Blood glucose monitoring; Diet guidance</w:t>
            </w:r>
          </w:p>
        </w:tc>
        <w:tc>
          <w:tcPr>
            <w:tcW w:w="5179" w:type="dxa"/>
            <w:tcBorders>
              <w:top w:val="nil"/>
              <w:left w:val="nil"/>
              <w:bottom w:val="nil"/>
              <w:right w:val="nil"/>
            </w:tcBorders>
            <w:shd w:val="clear" w:color="auto" w:fill="auto"/>
            <w:vAlign w:val="center"/>
          </w:tcPr>
          <w:p w14:paraId="3537B16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宋体" w:cs="Times New Roman"/>
                <w:b w:val="0"/>
                <w:bCs w:val="0"/>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Able to correctly monitor blood glucose; Able to record blood glucose results in a diabetes diary; Able to understand the meaning of blood glucose results; Able to choose monitoring times and frequency based on the insulin currently used; Able to distinguish high-sugar foods; Able to explain the relationship between insulin and eating; Able to make a suitable diet plan for oneself; Able to arrange meals reasonably according to the plan</w:t>
            </w:r>
          </w:p>
        </w:tc>
      </w:tr>
      <w:tr w14:paraId="4B2575B2">
        <w:tblPrEx>
          <w:tblBorders>
            <w:top w:val="single" w:color="auto" w:sz="8" w:space="0"/>
            <w:left w:val="none" w:color="auto" w:sz="4" w:space="0"/>
            <w:bottom w:val="single" w:color="auto" w:sz="8" w:space="0"/>
            <w:right w:val="non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9" w:hRule="atLeast"/>
          <w:jc w:val="center"/>
        </w:trPr>
        <w:tc>
          <w:tcPr>
            <w:tcW w:w="1365" w:type="dxa"/>
            <w:tcBorders>
              <w:top w:val="nil"/>
              <w:left w:val="nil"/>
              <w:bottom w:val="nil"/>
              <w:right w:val="nil"/>
            </w:tcBorders>
            <w:shd w:val="clear" w:color="auto" w:fill="auto"/>
            <w:vAlign w:val="center"/>
          </w:tcPr>
          <w:p w14:paraId="078C15E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宋体" w:cs="Times New Roman"/>
                <w:b w:val="0"/>
                <w:bCs w:val="0"/>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Session 3</w:t>
            </w:r>
          </w:p>
        </w:tc>
        <w:tc>
          <w:tcPr>
            <w:tcW w:w="2006" w:type="dxa"/>
            <w:tcBorders>
              <w:top w:val="nil"/>
              <w:left w:val="nil"/>
              <w:bottom w:val="nil"/>
              <w:right w:val="nil"/>
            </w:tcBorders>
            <w:shd w:val="clear" w:color="auto" w:fill="auto"/>
            <w:vAlign w:val="center"/>
          </w:tcPr>
          <w:p w14:paraId="6C91790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宋体" w:cs="Times New Roman"/>
                <w:b w:val="0"/>
                <w:bCs w:val="0"/>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Exercise guidance; Foot care</w:t>
            </w:r>
          </w:p>
        </w:tc>
        <w:tc>
          <w:tcPr>
            <w:tcW w:w="5179" w:type="dxa"/>
            <w:tcBorders>
              <w:top w:val="nil"/>
              <w:left w:val="nil"/>
              <w:bottom w:val="nil"/>
              <w:right w:val="nil"/>
            </w:tcBorders>
            <w:shd w:val="clear" w:color="auto" w:fill="auto"/>
            <w:vAlign w:val="center"/>
          </w:tcPr>
          <w:p w14:paraId="560FC59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宋体" w:cs="Times New Roman"/>
                <w:b w:val="0"/>
                <w:bCs w:val="0"/>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Able to repeat the mode, time, and frequency of exercise; Able to make a reasonable exercise plan; Able to stick to the exercise plan; Able to state daily foot care precautions; Able to consistently practice foot exercises</w:t>
            </w:r>
          </w:p>
        </w:tc>
      </w:tr>
      <w:tr w14:paraId="40C57F93">
        <w:tblPrEx>
          <w:tblBorders>
            <w:top w:val="single" w:color="auto" w:sz="8" w:space="0"/>
            <w:left w:val="none" w:color="auto" w:sz="4" w:space="0"/>
            <w:bottom w:val="single" w:color="auto" w:sz="8" w:space="0"/>
            <w:right w:val="none" w:color="auto" w:sz="4" w:space="0"/>
            <w:insideH w:val="single" w:color="auto" w:sz="4" w:space="0"/>
            <w:insideV w:val="single" w:color="auto" w:sz="4" w:space="0"/>
          </w:tblBorders>
          <w:tblCellMar>
            <w:top w:w="0" w:type="dxa"/>
            <w:left w:w="108" w:type="dxa"/>
            <w:bottom w:w="0" w:type="dxa"/>
            <w:right w:w="108" w:type="dxa"/>
          </w:tblCellMar>
        </w:tblPrEx>
        <w:trPr>
          <w:trHeight w:val="2272" w:hRule="atLeast"/>
          <w:jc w:val="center"/>
        </w:trPr>
        <w:tc>
          <w:tcPr>
            <w:tcW w:w="1365" w:type="dxa"/>
            <w:tcBorders>
              <w:top w:val="nil"/>
              <w:left w:val="nil"/>
              <w:bottom w:val="single" w:color="auto" w:sz="8" w:space="0"/>
              <w:right w:val="nil"/>
            </w:tcBorders>
            <w:shd w:val="clear" w:color="auto" w:fill="auto"/>
            <w:vAlign w:val="center"/>
          </w:tcPr>
          <w:p w14:paraId="615B8CD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宋体" w:cs="Times New Roman"/>
                <w:b w:val="0"/>
                <w:bCs w:val="0"/>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Session 4</w:t>
            </w:r>
          </w:p>
        </w:tc>
        <w:tc>
          <w:tcPr>
            <w:tcW w:w="2006" w:type="dxa"/>
            <w:tcBorders>
              <w:top w:val="nil"/>
              <w:left w:val="nil"/>
              <w:bottom w:val="single" w:color="auto" w:sz="8" w:space="0"/>
              <w:right w:val="nil"/>
            </w:tcBorders>
            <w:shd w:val="clear" w:color="auto" w:fill="auto"/>
            <w:vAlign w:val="center"/>
          </w:tcPr>
          <w:p w14:paraId="020DCDD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宋体" w:cs="Times New Roman"/>
                <w:b w:val="0"/>
                <w:bCs w:val="0"/>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Chronic complication screening; Insulin dose adjustment; Sick-day management</w:t>
            </w:r>
          </w:p>
        </w:tc>
        <w:tc>
          <w:tcPr>
            <w:tcW w:w="5179" w:type="dxa"/>
            <w:tcBorders>
              <w:top w:val="nil"/>
              <w:left w:val="nil"/>
              <w:bottom w:val="single" w:color="auto" w:sz="8" w:space="0"/>
              <w:right w:val="nil"/>
            </w:tcBorders>
            <w:shd w:val="clear" w:color="auto" w:fill="auto"/>
            <w:vAlign w:val="center"/>
          </w:tcPr>
          <w:p w14:paraId="4655420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宋体" w:cs="Times New Roman"/>
                <w:b w:val="0"/>
                <w:bCs w:val="0"/>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Able to recognize the importance of complication monitoring; Able to undergo regular diabetes complication checks; Able to adjust insulin dose in response to low blood glucose according to one's own situation; Able to adjust insulin dose in response to high blood glucose according to one's own situation; Able to analyze one's own blood glucose results to judge blood glucose control; Able to correctly manage diabetes during illness</w:t>
            </w:r>
          </w:p>
        </w:tc>
      </w:tr>
    </w:tbl>
    <w:p w14:paraId="734F1D18">
      <w:pPr>
        <w:pStyle w:val="4"/>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right="0"/>
        <w:jc w:val="both"/>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Note: STEP = Structured Therapeutic and Educational Program</w:t>
      </w:r>
    </w:p>
    <w:p w14:paraId="56953713">
      <w:pPr>
        <w:pStyle w:val="4"/>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On the first day of the intervention, however, I discovered a problem in myself. Because I had little clinical experience and my nurse-patient communication skills were weak, my thoughts often wandered off track during conversations with patients. Sometimes I felt nervous, which made the patients nervous too. This seriously affected the education’s effectiveness. The way nurses communicate with patients can change how effective health education is. After discussing this with the head nurse and reviewing the literature, I decided to adopt the CICARE model—a process-based nurse-patient communication model</w:t>
      </w:r>
      <w:r>
        <w:rPr>
          <w:rFonts w:hint="default" w:ascii="Times New Roman" w:hAnsi="Times New Roman" w:eastAsia="宋体" w:cs="Times New Roman"/>
          <w:b w:val="0"/>
          <w:bCs w:val="0"/>
          <w:kern w:val="2"/>
          <w:sz w:val="24"/>
          <w:szCs w:val="24"/>
          <w:vertAlign w:val="superscript"/>
          <w:lang w:val="en-US" w:eastAsia="zh-CN" w:bidi="ar"/>
        </w:rPr>
        <w:t>[7]</w:t>
      </w:r>
      <w:r>
        <w:rPr>
          <w:rFonts w:hint="default" w:ascii="Times New Roman" w:hAnsi="Times New Roman" w:eastAsia="宋体" w:cs="Times New Roman"/>
          <w:b w:val="0"/>
          <w:bCs w:val="0"/>
          <w:kern w:val="2"/>
          <w:sz w:val="24"/>
          <w:szCs w:val="24"/>
          <w:lang w:val="en-US" w:eastAsia="zh-CN" w:bidi="ar"/>
        </w:rPr>
        <w:t>—to make my communication more consistent and effective. CICARE is a communication approach used in American healthcare institutions that is designed to improve communication effectiveness and patient satisfaction. C stands for Connect: address the patient by their preferred name. I for Introduce: tell the patient who I am and my role. C for Communicate: say why I am here and what I will do. A for Ask: ask the patient</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s needs and get their permission before any procedure. R for Respond: answer the patient's questions and concerns. E for Exit: leave politely.</w:t>
      </w:r>
    </w:p>
    <w:p w14:paraId="29CB8003">
      <w:pPr>
        <w:pStyle w:val="4"/>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I combined the CICARE model with the STEP model for diabetes health education. First, I assessed the patient’s current situation, needs, and knowledge of the disease. Second, I used the STEP curriculum to design targeted, planned, and graded health education content and goals. After setting the course content and goals, I used the CICARE process-based communication model to deliver the bedside one-on-one health education. Finally, I evaluated the results and adjusted the content and goals for the next session accordingly, creating an ongoing cycle.</w:t>
      </w:r>
    </w:p>
    <w:p w14:paraId="48A254A5">
      <w:pPr>
        <w:pStyle w:val="4"/>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宋体" w:cs="Times New Roman"/>
          <w:b w:val="0"/>
          <w:bCs w:val="0"/>
          <w:kern w:val="2"/>
          <w:sz w:val="24"/>
          <w:szCs w:val="24"/>
          <w:lang w:val="en-US" w:eastAsia="zh-CN" w:bidi="ar"/>
        </w:rPr>
        <w:t xml:space="preserve">Before starting the STEP health education, on the first day, I interviewed the three patients in the experimental group for about 15–20 minutes each. The interview covered my role during their hospital stay, their basic situation, their level of diabetes knowledge (scored out of 100, where &gt;90 means mastered, 90–70 means basically mastered, and &lt;69 means not mastered), their health education needs, and whether they were willing to participate. After the interviews, starting the second day, I used the CICARE communication model at the bedside to deliver the education. After each session, I asked questions based on the course objectives. A correct answer meant </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mastered,</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 xml:space="preserve"> and a wrong answer meant </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not mastered,</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 xml:space="preserve"> requiring further explanation. The control group received routine diabetes health education from other nurses in the department. The intervention lasted five days (Day 1 for interviews, followed by 4 days of the education program). The observation indicator was whether the six-point daily blood glucose was within the ideal range (ideal fasting glucose &lt;6.1 mmol/L, 2h postprandial glucose &lt;8.0 mmol/L; general: fasting 6.2–8.0 mmol/L, 2h postprandial 8.0–10.0 mmol/L; poor: fasting &gt;8.0 mmol/L, 2h postprandial &gt;10.0 mmol/L; effective control rate = ideal + general). See Table 3-2 and Table 3-3.</w:t>
      </w:r>
    </w:p>
    <w:p w14:paraId="0313C49F">
      <w:pPr>
        <w:pStyle w:val="4"/>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right="0" w:firstLine="460" w:firstLineChars="200"/>
        <w:jc w:val="center"/>
        <w:textAlignment w:val="auto"/>
        <w:rPr>
          <w:rFonts w:hint="default" w:ascii="Times New Roman" w:hAnsi="Times New Roman" w:eastAsia="宋体" w:cs="Times New Roman"/>
          <w:b w:val="0"/>
          <w:bCs w:val="0"/>
          <w:spacing w:val="-5"/>
          <w:kern w:val="2"/>
          <w:sz w:val="24"/>
          <w:szCs w:val="24"/>
          <w:lang w:val="en-US" w:eastAsia="zh-CN" w:bidi="ar"/>
        </w:rPr>
      </w:pPr>
      <w:r>
        <w:rPr>
          <w:rFonts w:hint="default" w:ascii="Times New Roman" w:hAnsi="Times New Roman" w:eastAsia="宋体" w:cs="Times New Roman"/>
          <w:b w:val="0"/>
          <w:bCs w:val="0"/>
          <w:spacing w:val="-5"/>
          <w:kern w:val="2"/>
          <w:sz w:val="24"/>
          <w:szCs w:val="24"/>
          <w:lang w:val="en-US" w:eastAsia="zh-CN" w:bidi="ar"/>
        </w:rPr>
        <w:t>Table 3-2 Patient Basic Information</w:t>
      </w:r>
    </w:p>
    <w:tbl>
      <w:tblPr>
        <w:tblStyle w:val="6"/>
        <w:tblW w:w="78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582"/>
        <w:gridCol w:w="1890"/>
        <w:gridCol w:w="1730"/>
        <w:gridCol w:w="1240"/>
        <w:gridCol w:w="1419"/>
      </w:tblGrid>
      <w:tr w14:paraId="7BF3C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582" w:type="dxa"/>
            <w:tcBorders>
              <w:top w:val="single" w:color="auto" w:sz="12" w:space="0"/>
              <w:left w:val="nil"/>
              <w:bottom w:val="single" w:color="000000" w:sz="12" w:space="0"/>
              <w:right w:val="nil"/>
            </w:tcBorders>
            <w:shd w:val="clear" w:color="auto" w:fill="auto"/>
            <w:vAlign w:val="center"/>
          </w:tcPr>
          <w:p w14:paraId="5C8ED84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Group (A/B/C)</w:t>
            </w:r>
          </w:p>
        </w:tc>
        <w:tc>
          <w:tcPr>
            <w:tcW w:w="1890" w:type="dxa"/>
            <w:tcBorders>
              <w:top w:val="single" w:color="auto" w:sz="12" w:space="0"/>
              <w:left w:val="nil"/>
              <w:bottom w:val="single" w:color="000000" w:sz="12" w:space="0"/>
              <w:right w:val="nil"/>
            </w:tcBorders>
            <w:shd w:val="clear" w:color="auto" w:fill="auto"/>
            <w:vAlign w:val="center"/>
          </w:tcPr>
          <w:p w14:paraId="18F0ED0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Basic Situation</w:t>
            </w:r>
          </w:p>
        </w:tc>
        <w:tc>
          <w:tcPr>
            <w:tcW w:w="1730" w:type="dxa"/>
            <w:tcBorders>
              <w:top w:val="single" w:color="auto" w:sz="12" w:space="0"/>
              <w:left w:val="nil"/>
              <w:bottom w:val="single" w:color="000000" w:sz="12" w:space="0"/>
              <w:right w:val="nil"/>
            </w:tcBorders>
            <w:shd w:val="clear" w:color="auto" w:fill="auto"/>
            <w:vAlign w:val="center"/>
          </w:tcPr>
          <w:p w14:paraId="5293657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Knowledge Level</w:t>
            </w:r>
          </w:p>
        </w:tc>
        <w:tc>
          <w:tcPr>
            <w:tcW w:w="1240" w:type="dxa"/>
            <w:tcBorders>
              <w:top w:val="single" w:color="auto" w:sz="12" w:space="0"/>
              <w:left w:val="nil"/>
              <w:bottom w:val="single" w:color="000000" w:sz="12" w:space="0"/>
              <w:right w:val="nil"/>
            </w:tcBorders>
            <w:shd w:val="clear" w:color="auto" w:fill="auto"/>
            <w:vAlign w:val="center"/>
          </w:tcPr>
          <w:p w14:paraId="5F45121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Health Education Needs</w:t>
            </w:r>
          </w:p>
        </w:tc>
        <w:tc>
          <w:tcPr>
            <w:tcW w:w="1419" w:type="dxa"/>
            <w:tcBorders>
              <w:top w:val="single" w:color="auto" w:sz="12" w:space="0"/>
              <w:left w:val="nil"/>
              <w:bottom w:val="single" w:color="000000" w:sz="12" w:space="0"/>
              <w:right w:val="nil"/>
            </w:tcBorders>
            <w:shd w:val="clear" w:color="auto" w:fill="auto"/>
            <w:vAlign w:val="center"/>
          </w:tcPr>
          <w:p w14:paraId="6075288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Willing to Participate</w:t>
            </w:r>
          </w:p>
        </w:tc>
      </w:tr>
      <w:tr w14:paraId="55FD0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582" w:type="dxa"/>
            <w:tcBorders>
              <w:top w:val="single" w:color="000000" w:sz="12" w:space="0"/>
              <w:left w:val="nil"/>
              <w:bottom w:val="nil"/>
              <w:right w:val="nil"/>
            </w:tcBorders>
            <w:shd w:val="clear" w:color="auto" w:fill="auto"/>
            <w:vAlign w:val="center"/>
          </w:tcPr>
          <w:p w14:paraId="6EC8F98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Experimental (A/B/C)</w:t>
            </w:r>
          </w:p>
        </w:tc>
        <w:tc>
          <w:tcPr>
            <w:tcW w:w="1890" w:type="dxa"/>
            <w:tcBorders>
              <w:top w:val="single" w:color="000000" w:sz="12" w:space="0"/>
              <w:left w:val="nil"/>
              <w:bottom w:val="nil"/>
              <w:right w:val="nil"/>
            </w:tcBorders>
            <w:shd w:val="clear" w:color="auto" w:fill="auto"/>
            <w:vAlign w:val="center"/>
          </w:tcPr>
          <w:p w14:paraId="2503898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A: Newly diagnosed diabetes; B: Diabetes for 7 years, irregular glucose control and monitoring, already developed peripheral neuropathy; C: Diabetes for 4 years, repeatedly stopped insulin, afraid of medication dependence, already developed peripheral neuropathy</w:t>
            </w:r>
          </w:p>
        </w:tc>
        <w:tc>
          <w:tcPr>
            <w:tcW w:w="1730" w:type="dxa"/>
            <w:tcBorders>
              <w:top w:val="single" w:color="000000" w:sz="12" w:space="0"/>
              <w:left w:val="nil"/>
              <w:bottom w:val="nil"/>
              <w:right w:val="nil"/>
            </w:tcBorders>
            <w:shd w:val="clear" w:color="auto" w:fill="auto"/>
            <w:vAlign w:val="center"/>
          </w:tcPr>
          <w:p w14:paraId="79D377B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宋体" w:cs="Times New Roman"/>
                <w:b w:val="0"/>
                <w:bCs w:val="0"/>
                <w:spacing w:val="-1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A: College education, soldier, knowledge &lt;69; B: High school education, teacher, knowledge &lt;69; C: High school education, unemployed, knowledge &lt;69</w:t>
            </w:r>
          </w:p>
        </w:tc>
        <w:tc>
          <w:tcPr>
            <w:tcW w:w="1240" w:type="dxa"/>
            <w:tcBorders>
              <w:top w:val="single" w:color="000000" w:sz="12" w:space="0"/>
              <w:left w:val="nil"/>
              <w:bottom w:val="nil"/>
              <w:right w:val="nil"/>
            </w:tcBorders>
            <w:shd w:val="clear" w:color="auto" w:fill="auto"/>
            <w:vAlign w:val="center"/>
          </w:tcPr>
          <w:p w14:paraId="20101EE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Had needs, wanted guidance</w:t>
            </w:r>
          </w:p>
        </w:tc>
        <w:tc>
          <w:tcPr>
            <w:tcW w:w="1419" w:type="dxa"/>
            <w:tcBorders>
              <w:top w:val="single" w:color="000000" w:sz="12" w:space="0"/>
              <w:left w:val="nil"/>
              <w:bottom w:val="nil"/>
              <w:right w:val="nil"/>
            </w:tcBorders>
            <w:shd w:val="clear" w:color="auto" w:fill="auto"/>
            <w:vAlign w:val="center"/>
          </w:tcPr>
          <w:p w14:paraId="439F0E0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Yes</w:t>
            </w:r>
          </w:p>
        </w:tc>
      </w:tr>
      <w:tr w14:paraId="05132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4" w:hRule="atLeast"/>
          <w:jc w:val="center"/>
        </w:trPr>
        <w:tc>
          <w:tcPr>
            <w:tcW w:w="1582" w:type="dxa"/>
            <w:tcBorders>
              <w:top w:val="nil"/>
              <w:left w:val="nil"/>
              <w:bottom w:val="single" w:color="auto" w:sz="12" w:space="0"/>
              <w:right w:val="nil"/>
            </w:tcBorders>
            <w:shd w:val="clear" w:color="auto" w:fill="auto"/>
            <w:vAlign w:val="center"/>
          </w:tcPr>
          <w:p w14:paraId="5EE9543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Control (D/E/F)</w:t>
            </w:r>
          </w:p>
        </w:tc>
        <w:tc>
          <w:tcPr>
            <w:tcW w:w="1890" w:type="dxa"/>
            <w:tcBorders>
              <w:top w:val="nil"/>
              <w:left w:val="nil"/>
              <w:bottom w:val="single" w:color="auto" w:sz="12" w:space="0"/>
              <w:right w:val="nil"/>
            </w:tcBorders>
            <w:shd w:val="clear" w:color="auto" w:fill="auto"/>
            <w:vAlign w:val="center"/>
          </w:tcPr>
          <w:p w14:paraId="78C50BD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Diabetes duration 3–5 years, all had peripheral neuropathy</w:t>
            </w:r>
          </w:p>
        </w:tc>
        <w:tc>
          <w:tcPr>
            <w:tcW w:w="1730" w:type="dxa"/>
            <w:tcBorders>
              <w:top w:val="nil"/>
              <w:left w:val="nil"/>
              <w:bottom w:val="single" w:color="auto" w:sz="12" w:space="0"/>
              <w:right w:val="nil"/>
            </w:tcBorders>
            <w:shd w:val="clear" w:color="auto" w:fill="auto"/>
            <w:vAlign w:val="center"/>
          </w:tcPr>
          <w:p w14:paraId="04C0E8F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Knowledge &lt;69</w:t>
            </w:r>
          </w:p>
        </w:tc>
        <w:tc>
          <w:tcPr>
            <w:tcW w:w="1240" w:type="dxa"/>
            <w:tcBorders>
              <w:top w:val="nil"/>
              <w:left w:val="nil"/>
              <w:bottom w:val="single" w:color="auto" w:sz="12" w:space="0"/>
              <w:right w:val="nil"/>
            </w:tcBorders>
            <w:shd w:val="clear" w:color="auto" w:fill="auto"/>
            <w:vAlign w:val="center"/>
          </w:tcPr>
          <w:p w14:paraId="1BE724C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Had needs, wanted guidance</w:t>
            </w:r>
          </w:p>
        </w:tc>
        <w:tc>
          <w:tcPr>
            <w:tcW w:w="1419" w:type="dxa"/>
            <w:tcBorders>
              <w:top w:val="nil"/>
              <w:left w:val="nil"/>
              <w:bottom w:val="single" w:color="auto" w:sz="12" w:space="0"/>
              <w:right w:val="nil"/>
            </w:tcBorders>
            <w:shd w:val="clear" w:color="auto" w:fill="auto"/>
            <w:vAlign w:val="center"/>
          </w:tcPr>
          <w:p w14:paraId="22F0F24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Yes</w:t>
            </w:r>
          </w:p>
        </w:tc>
      </w:tr>
    </w:tbl>
    <w:p w14:paraId="76CEF5C7">
      <w:pPr>
        <w:pStyle w:val="4"/>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right="0"/>
        <w:jc w:val="center"/>
        <w:textAlignment w:val="auto"/>
        <w:rPr>
          <w:rFonts w:hint="default" w:ascii="Times New Roman" w:hAnsi="Times New Roman" w:eastAsia="宋体" w:cs="Times New Roman"/>
          <w:b w:val="0"/>
          <w:bCs w:val="0"/>
          <w:spacing w:val="5"/>
          <w:kern w:val="2"/>
          <w:sz w:val="24"/>
          <w:szCs w:val="24"/>
          <w:lang w:val="en-US" w:eastAsia="zh-CN" w:bidi="ar"/>
        </w:rPr>
      </w:pPr>
      <w:r>
        <w:rPr>
          <w:rStyle w:val="8"/>
          <w:rFonts w:hint="default" w:ascii="Times New Roman" w:hAnsi="Times New Roman" w:eastAsia="Segoe UI" w:cs="Times New Roman"/>
          <w:b w:val="0"/>
          <w:bCs w:val="0"/>
          <w:i w:val="0"/>
          <w:iCs w:val="0"/>
          <w:caps w:val="0"/>
          <w:color w:val="0F1115"/>
          <w:spacing w:val="0"/>
          <w:sz w:val="24"/>
          <w:szCs w:val="24"/>
          <w:shd w:val="clear" w:fill="FFFFFF"/>
        </w:rPr>
        <w:t>Table 3-3 Blood Glucose Control Status</w:t>
      </w:r>
    </w:p>
    <w:tbl>
      <w:tblPr>
        <w:tblStyle w:val="6"/>
        <w:tblW w:w="73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540"/>
        <w:gridCol w:w="1340"/>
        <w:gridCol w:w="1150"/>
        <w:gridCol w:w="1180"/>
        <w:gridCol w:w="954"/>
        <w:gridCol w:w="1233"/>
      </w:tblGrid>
      <w:tr w14:paraId="4DA7E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2" w:hRule="atLeast"/>
          <w:jc w:val="center"/>
        </w:trPr>
        <w:tc>
          <w:tcPr>
            <w:tcW w:w="1540" w:type="dxa"/>
            <w:tcBorders>
              <w:top w:val="single" w:color="auto" w:sz="12" w:space="0"/>
              <w:left w:val="nil"/>
              <w:bottom w:val="single" w:color="000000" w:sz="12" w:space="0"/>
              <w:right w:val="nil"/>
            </w:tcBorders>
            <w:shd w:val="clear" w:color="auto" w:fill="auto"/>
            <w:vAlign w:val="center"/>
          </w:tcPr>
          <w:p w14:paraId="280783A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Group</w:t>
            </w:r>
          </w:p>
        </w:tc>
        <w:tc>
          <w:tcPr>
            <w:tcW w:w="1340" w:type="dxa"/>
            <w:tcBorders>
              <w:top w:val="single" w:color="auto" w:sz="12" w:space="0"/>
              <w:left w:val="nil"/>
              <w:bottom w:val="single" w:color="000000" w:sz="12" w:space="0"/>
              <w:right w:val="nil"/>
            </w:tcBorders>
            <w:shd w:val="clear" w:color="auto" w:fill="auto"/>
            <w:vAlign w:val="center"/>
          </w:tcPr>
          <w:p w14:paraId="7F8F147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Number of Cases</w:t>
            </w:r>
          </w:p>
        </w:tc>
        <w:tc>
          <w:tcPr>
            <w:tcW w:w="1150" w:type="dxa"/>
            <w:tcBorders>
              <w:top w:val="single" w:color="auto" w:sz="12" w:space="0"/>
              <w:left w:val="nil"/>
              <w:bottom w:val="single" w:color="000000" w:sz="12" w:space="0"/>
              <w:right w:val="nil"/>
            </w:tcBorders>
            <w:shd w:val="clear" w:color="auto" w:fill="auto"/>
            <w:vAlign w:val="center"/>
          </w:tcPr>
          <w:p w14:paraId="6FA17C9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Ideal</w:t>
            </w:r>
          </w:p>
        </w:tc>
        <w:tc>
          <w:tcPr>
            <w:tcW w:w="1180" w:type="dxa"/>
            <w:tcBorders>
              <w:top w:val="single" w:color="auto" w:sz="12" w:space="0"/>
              <w:left w:val="nil"/>
              <w:bottom w:val="single" w:color="000000" w:sz="12" w:space="0"/>
              <w:right w:val="nil"/>
            </w:tcBorders>
            <w:shd w:val="clear" w:color="auto" w:fill="auto"/>
            <w:vAlign w:val="center"/>
          </w:tcPr>
          <w:p w14:paraId="3F7D761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General</w:t>
            </w:r>
          </w:p>
        </w:tc>
        <w:tc>
          <w:tcPr>
            <w:tcW w:w="954" w:type="dxa"/>
            <w:tcBorders>
              <w:top w:val="single" w:color="auto" w:sz="12" w:space="0"/>
              <w:left w:val="nil"/>
              <w:bottom w:val="single" w:color="000000" w:sz="12" w:space="0"/>
              <w:right w:val="nil"/>
            </w:tcBorders>
            <w:shd w:val="clear" w:color="auto" w:fill="auto"/>
            <w:vAlign w:val="center"/>
          </w:tcPr>
          <w:p w14:paraId="745606F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Poor</w:t>
            </w:r>
          </w:p>
        </w:tc>
        <w:tc>
          <w:tcPr>
            <w:tcW w:w="1233" w:type="dxa"/>
            <w:tcBorders>
              <w:top w:val="single" w:color="auto" w:sz="12" w:space="0"/>
              <w:left w:val="nil"/>
              <w:bottom w:val="single" w:color="000000" w:sz="12" w:space="0"/>
              <w:right w:val="nil"/>
            </w:tcBorders>
            <w:shd w:val="clear" w:color="auto" w:fill="auto"/>
            <w:vAlign w:val="center"/>
          </w:tcPr>
          <w:p w14:paraId="7E8B970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Effective Control Rate</w:t>
            </w:r>
          </w:p>
        </w:tc>
      </w:tr>
      <w:tr w14:paraId="2998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540" w:type="dxa"/>
            <w:tcBorders>
              <w:top w:val="single" w:color="000000" w:sz="12" w:space="0"/>
              <w:left w:val="nil"/>
              <w:bottom w:val="nil"/>
              <w:right w:val="nil"/>
            </w:tcBorders>
            <w:shd w:val="clear" w:color="auto" w:fill="auto"/>
            <w:vAlign w:val="center"/>
          </w:tcPr>
          <w:p w14:paraId="1021597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Experimental (A/B/C)</w:t>
            </w:r>
          </w:p>
        </w:tc>
        <w:tc>
          <w:tcPr>
            <w:tcW w:w="1340" w:type="dxa"/>
            <w:tcBorders>
              <w:top w:val="single" w:color="000000" w:sz="12" w:space="0"/>
              <w:left w:val="nil"/>
              <w:bottom w:val="nil"/>
              <w:right w:val="nil"/>
            </w:tcBorders>
            <w:shd w:val="clear" w:color="auto" w:fill="auto"/>
            <w:vAlign w:val="center"/>
          </w:tcPr>
          <w:p w14:paraId="3A96368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3</w:t>
            </w:r>
          </w:p>
        </w:tc>
        <w:tc>
          <w:tcPr>
            <w:tcW w:w="1150" w:type="dxa"/>
            <w:tcBorders>
              <w:top w:val="single" w:color="000000" w:sz="12" w:space="0"/>
              <w:left w:val="nil"/>
              <w:bottom w:val="nil"/>
              <w:right w:val="nil"/>
            </w:tcBorders>
            <w:shd w:val="clear" w:color="auto" w:fill="auto"/>
            <w:vAlign w:val="center"/>
          </w:tcPr>
          <w:p w14:paraId="2A1BF5E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1</w:t>
            </w:r>
          </w:p>
        </w:tc>
        <w:tc>
          <w:tcPr>
            <w:tcW w:w="1180" w:type="dxa"/>
            <w:tcBorders>
              <w:top w:val="single" w:color="000000" w:sz="12" w:space="0"/>
              <w:left w:val="nil"/>
              <w:bottom w:val="nil"/>
              <w:right w:val="nil"/>
            </w:tcBorders>
            <w:shd w:val="clear" w:color="auto" w:fill="auto"/>
            <w:vAlign w:val="center"/>
          </w:tcPr>
          <w:p w14:paraId="1A62A34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2</w:t>
            </w:r>
          </w:p>
        </w:tc>
        <w:tc>
          <w:tcPr>
            <w:tcW w:w="954" w:type="dxa"/>
            <w:tcBorders>
              <w:top w:val="single" w:color="000000" w:sz="12" w:space="0"/>
              <w:left w:val="nil"/>
              <w:bottom w:val="nil"/>
              <w:right w:val="nil"/>
            </w:tcBorders>
            <w:shd w:val="clear" w:color="auto" w:fill="auto"/>
            <w:vAlign w:val="center"/>
          </w:tcPr>
          <w:p w14:paraId="369D683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0</w:t>
            </w:r>
          </w:p>
        </w:tc>
        <w:tc>
          <w:tcPr>
            <w:tcW w:w="1233" w:type="dxa"/>
            <w:tcBorders>
              <w:top w:val="single" w:color="000000" w:sz="12" w:space="0"/>
              <w:left w:val="nil"/>
              <w:bottom w:val="nil"/>
              <w:right w:val="nil"/>
            </w:tcBorders>
            <w:shd w:val="clear" w:color="auto" w:fill="auto"/>
            <w:vAlign w:val="center"/>
          </w:tcPr>
          <w:p w14:paraId="21E1A06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100%</w:t>
            </w:r>
          </w:p>
        </w:tc>
      </w:tr>
      <w:tr w14:paraId="2391B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540" w:type="dxa"/>
            <w:tcBorders>
              <w:top w:val="nil"/>
              <w:left w:val="nil"/>
              <w:bottom w:val="single" w:color="auto" w:sz="12" w:space="0"/>
              <w:right w:val="nil"/>
            </w:tcBorders>
            <w:shd w:val="clear" w:color="auto" w:fill="auto"/>
            <w:vAlign w:val="center"/>
          </w:tcPr>
          <w:p w14:paraId="5C596BA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Control (D/E/F)</w:t>
            </w:r>
          </w:p>
        </w:tc>
        <w:tc>
          <w:tcPr>
            <w:tcW w:w="1340" w:type="dxa"/>
            <w:tcBorders>
              <w:top w:val="nil"/>
              <w:left w:val="nil"/>
              <w:bottom w:val="single" w:color="auto" w:sz="12" w:space="0"/>
              <w:right w:val="nil"/>
            </w:tcBorders>
            <w:shd w:val="clear" w:color="auto" w:fill="auto"/>
            <w:vAlign w:val="center"/>
          </w:tcPr>
          <w:p w14:paraId="7B0FD8E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3</w:t>
            </w:r>
          </w:p>
        </w:tc>
        <w:tc>
          <w:tcPr>
            <w:tcW w:w="1150" w:type="dxa"/>
            <w:tcBorders>
              <w:top w:val="nil"/>
              <w:left w:val="nil"/>
              <w:bottom w:val="single" w:color="auto" w:sz="12" w:space="0"/>
              <w:right w:val="nil"/>
            </w:tcBorders>
            <w:shd w:val="clear" w:color="auto" w:fill="auto"/>
            <w:vAlign w:val="center"/>
          </w:tcPr>
          <w:p w14:paraId="4DE8271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0</w:t>
            </w:r>
          </w:p>
        </w:tc>
        <w:tc>
          <w:tcPr>
            <w:tcW w:w="1180" w:type="dxa"/>
            <w:tcBorders>
              <w:top w:val="nil"/>
              <w:left w:val="nil"/>
              <w:bottom w:val="single" w:color="auto" w:sz="12" w:space="0"/>
              <w:right w:val="nil"/>
            </w:tcBorders>
            <w:shd w:val="clear" w:color="auto" w:fill="auto"/>
            <w:vAlign w:val="center"/>
          </w:tcPr>
          <w:p w14:paraId="33B5620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2</w:t>
            </w:r>
          </w:p>
        </w:tc>
        <w:tc>
          <w:tcPr>
            <w:tcW w:w="954" w:type="dxa"/>
            <w:tcBorders>
              <w:top w:val="nil"/>
              <w:left w:val="nil"/>
              <w:bottom w:val="single" w:color="auto" w:sz="12" w:space="0"/>
              <w:right w:val="nil"/>
            </w:tcBorders>
            <w:shd w:val="clear" w:color="auto" w:fill="auto"/>
            <w:vAlign w:val="center"/>
          </w:tcPr>
          <w:p w14:paraId="673C98F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1</w:t>
            </w:r>
          </w:p>
        </w:tc>
        <w:tc>
          <w:tcPr>
            <w:tcW w:w="1233" w:type="dxa"/>
            <w:tcBorders>
              <w:top w:val="nil"/>
              <w:left w:val="nil"/>
              <w:bottom w:val="single" w:color="auto" w:sz="12" w:space="0"/>
              <w:right w:val="nil"/>
            </w:tcBorders>
            <w:shd w:val="clear" w:color="auto" w:fill="auto"/>
            <w:vAlign w:val="center"/>
          </w:tcPr>
          <w:p w14:paraId="6BDA72A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val="0"/>
                <w:bCs w:val="0"/>
                <w:spacing w:val="5"/>
                <w:kern w:val="2"/>
                <w:sz w:val="24"/>
                <w:szCs w:val="24"/>
              </w:rPr>
            </w:pPr>
            <w:r>
              <w:rPr>
                <w:rFonts w:hint="default" w:ascii="Times New Roman" w:hAnsi="Times New Roman" w:eastAsia="Segoe UI" w:cs="Times New Roman"/>
                <w:b w:val="0"/>
                <w:bCs w:val="0"/>
                <w:i w:val="0"/>
                <w:iCs w:val="0"/>
                <w:caps w:val="0"/>
                <w:color w:val="0F1115"/>
                <w:spacing w:val="0"/>
                <w:kern w:val="0"/>
                <w:sz w:val="24"/>
                <w:szCs w:val="24"/>
                <w:lang w:val="en-US" w:eastAsia="zh-CN" w:bidi="ar"/>
              </w:rPr>
              <w:t>66.6%</w:t>
            </w:r>
          </w:p>
        </w:tc>
      </w:tr>
    </w:tbl>
    <w:p w14:paraId="6B046905">
      <w:pPr>
        <w:pStyle w:val="4"/>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rPr>
      </w:pPr>
      <w:r>
        <w:rPr>
          <w:rFonts w:hint="default" w:ascii="Times New Roman" w:hAnsi="Times New Roman" w:eastAsia="宋体" w:cs="Times New Roman"/>
          <w:b w:val="0"/>
          <w:bCs w:val="0"/>
          <w:kern w:val="2"/>
          <w:sz w:val="24"/>
          <w:szCs w:val="24"/>
          <w:lang w:val="en-US" w:eastAsia="zh-CN" w:bidi="ar"/>
        </w:rPr>
        <w:t xml:space="preserve"> The results showed that all three patients in the experimental group had admission fasting and postprandial blood glucose levels &gt;10.0 mmol/L. After the intervention, especially after the diet and exercise sessions on Day 3, their blood glucose levels all clearly dropped. The three patients who received the CICARE+STEP education all said my teaching helped them a lot. Patient C, who had repeatedly stopped insulin for fear of dependence, leading to poor control, said after the program that he would use insulin properly to control his blood sugar after discharge. Patient B said he realized only after the education that his previous exercise methods were wrong. Patient A, newly diagnosed, felt very fortunate to receive health education early in his condition. But I also found a problem: these patients felt that self-monitoring blood glucose at home after discharge would be hard. They thought finger pricks hurt too much and that it would be difficult to test 3–4 times a week. How to improve their adherence to blood glucose monitoring and lessen their fear of the lancets is the next issue I need to analyze and solve.</w:t>
      </w:r>
    </w:p>
    <w:p w14:paraId="221AA84B">
      <w:pPr>
        <w:pStyle w:val="4"/>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left="0" w:right="0" w:firstLine="482" w:firstLineChars="200"/>
        <w:jc w:val="both"/>
        <w:textAlignment w:val="auto"/>
        <w:rPr>
          <w:rFonts w:hint="default" w:ascii="Times New Roman" w:hAnsi="Times New Roman" w:eastAsia="宋体" w:cs="Times New Roman"/>
          <w:b/>
          <w:bCs/>
          <w:kern w:val="2"/>
          <w:sz w:val="24"/>
          <w:szCs w:val="24"/>
          <w:lang w:val="en-US" w:eastAsia="zh-CN" w:bidi="ar"/>
        </w:rPr>
      </w:pPr>
      <w:bookmarkStart w:id="0" w:name="_Toc22939"/>
      <w:r>
        <w:rPr>
          <w:rFonts w:hint="default" w:ascii="Times New Roman" w:hAnsi="Times New Roman" w:eastAsia="宋体" w:cs="Times New Roman"/>
          <w:b/>
          <w:bCs/>
          <w:kern w:val="2"/>
          <w:sz w:val="24"/>
          <w:szCs w:val="24"/>
          <w:lang w:val="en-US" w:eastAsia="zh-CN" w:bidi="ar"/>
        </w:rPr>
        <w:t>3. Brief Summary</w:t>
      </w:r>
    </w:p>
    <w:p w14:paraId="240C41E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 xml:space="preserve">Applying the STEP+CICARE model in diabetes health education helps clinical nurses do a better job of educating patients. When I first entered the endocrinology department, I felt lost when trying to use the </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five carriages</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 xml:space="preserve"> content to educate patients—there was simply too much. How can a specialized nurse cover all of this in a few days and ensure patients truly grasp the knowledge and improve their self-management? The STEP model structures the </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five carriages</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 xml:space="preserve"> content and delivers it in a targeted way based on patients</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 xml:space="preserve"> needs. The CICARE model is a good clinical communication method. It serves as a framework to guide novice nurses or nursing students when conducting health education, reducing their nervousness and hesitation with patients and making communication effective. For diabetes health education, I see CICARE as the framework, while STEP provides the content. They can blend together to ensure education is effective. This experience also guides my future research: combining a certain model or theory helps keep the delivery of a program consistent. After I tried the STEP+CICARE health education, the head nurse also thought it was innovative. And I could see that patients</w:t>
      </w:r>
      <w:r>
        <w:rPr>
          <w:rFonts w:hint="default" w:ascii="Times New Roman" w:hAnsi="Times New Roman" w:cs="Times New Roman"/>
          <w:b w:val="0"/>
          <w:bCs w:val="0"/>
          <w:kern w:val="2"/>
          <w:sz w:val="24"/>
          <w:szCs w:val="24"/>
          <w:lang w:val="en-US" w:eastAsia="zh-CN" w:bidi="ar"/>
        </w:rPr>
        <w:t>’</w:t>
      </w:r>
      <w:r>
        <w:rPr>
          <w:rFonts w:hint="default" w:ascii="Times New Roman" w:hAnsi="Times New Roman" w:eastAsia="宋体" w:cs="Times New Roman"/>
          <w:b w:val="0"/>
          <w:bCs w:val="0"/>
          <w:kern w:val="2"/>
          <w:sz w:val="24"/>
          <w:szCs w:val="24"/>
          <w:lang w:val="en-US" w:eastAsia="zh-CN" w:bidi="ar"/>
        </w:rPr>
        <w:t xml:space="preserve"> blood glucose control and knowledge clearly improved. The experimental group patients told me after the sessions that they gained a lot, found it very helpful, and realized many of their previous practices were wrong. Even patients from other rooms wanted to attend. Knowing that my health education truly helped patients made me very happy!</w:t>
      </w:r>
    </w:p>
    <w:bookmarkEnd w:id="0"/>
    <w:p w14:paraId="434DFA8B">
      <w:pPr>
        <w:pStyle w:val="4"/>
        <w:keepNext w:val="0"/>
        <w:keepLines w:val="0"/>
        <w:pageBreakBefore w:val="0"/>
        <w:widowControl/>
        <w:suppressLineNumbers w:val="0"/>
        <w:shd w:val="clear" w:fill="FFFFFF"/>
        <w:kinsoku/>
        <w:wordWrap/>
        <w:overflowPunct/>
        <w:topLinePunct w:val="0"/>
        <w:autoSpaceDN/>
        <w:bidi w:val="0"/>
        <w:adjustRightInd/>
        <w:snapToGrid/>
        <w:spacing w:before="0" w:beforeAutospacing="0" w:after="0" w:afterAutospacing="0" w:line="360" w:lineRule="auto"/>
        <w:ind w:right="0"/>
        <w:textAlignment w:val="auto"/>
        <w:rPr>
          <w:rFonts w:hint="default" w:ascii="Times New Roman" w:hAnsi="Times New Roman" w:eastAsia="Segoe UI" w:cs="Times New Roman"/>
          <w:b/>
          <w:bCs/>
          <w:i w:val="0"/>
          <w:iCs w:val="0"/>
          <w:caps w:val="0"/>
          <w:color w:val="0F1115"/>
          <w:spacing w:val="0"/>
          <w:sz w:val="24"/>
          <w:szCs w:val="24"/>
        </w:rPr>
      </w:pPr>
      <w:r>
        <w:rPr>
          <w:rStyle w:val="8"/>
          <w:rFonts w:hint="default" w:ascii="Times New Roman" w:hAnsi="Times New Roman" w:eastAsia="Segoe UI" w:cs="Times New Roman"/>
          <w:b/>
          <w:bCs/>
          <w:i w:val="0"/>
          <w:iCs w:val="0"/>
          <w:caps w:val="0"/>
          <w:color w:val="0F1115"/>
          <w:spacing w:val="0"/>
          <w:sz w:val="24"/>
          <w:szCs w:val="24"/>
          <w:shd w:val="clear" w:fill="FFFFFF"/>
        </w:rPr>
        <w:t>References</w:t>
      </w:r>
    </w:p>
    <w:p w14:paraId="6D952C78">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Segoe UI" w:cs="Times New Roman"/>
          <w:b w:val="0"/>
          <w:bCs w:val="0"/>
          <w:i w:val="0"/>
          <w:iCs w:val="0"/>
          <w:caps w:val="0"/>
          <w:color w:val="0F1115"/>
          <w:spacing w:val="0"/>
          <w:sz w:val="24"/>
          <w:szCs w:val="24"/>
          <w:shd w:val="clear" w:fill="FFFFFF"/>
        </w:rPr>
        <w:t>[1] Pan J. Effect of comprehensive nursing intervention on improving self-management ability of patients with type 2 diabetes in community hospitals. Diabetes New World, 2017, 20(13):195-196.</w:t>
      </w:r>
      <w:r>
        <w:rPr>
          <w:rFonts w:hint="default" w:ascii="Times New Roman" w:hAnsi="Times New Roman" w:eastAsia="Segoe UI" w:cs="Times New Roman"/>
          <w:b w:val="0"/>
          <w:bCs w:val="0"/>
          <w:i w:val="0"/>
          <w:iCs w:val="0"/>
          <w:caps w:val="0"/>
          <w:color w:val="0F1115"/>
          <w:spacing w:val="0"/>
          <w:sz w:val="24"/>
          <w:szCs w:val="24"/>
          <w:shd w:val="clear" w:fill="FFFFFF"/>
        </w:rPr>
        <w:br w:type="textWrapping"/>
      </w:r>
      <w:r>
        <w:rPr>
          <w:rFonts w:hint="default" w:ascii="Times New Roman" w:hAnsi="Times New Roman" w:eastAsia="Segoe UI" w:cs="Times New Roman"/>
          <w:b w:val="0"/>
          <w:bCs w:val="0"/>
          <w:i w:val="0"/>
          <w:iCs w:val="0"/>
          <w:caps w:val="0"/>
          <w:color w:val="0F1115"/>
          <w:spacing w:val="0"/>
          <w:sz w:val="24"/>
          <w:szCs w:val="24"/>
          <w:shd w:val="clear" w:fill="FFFFFF"/>
        </w:rPr>
        <w:t>[2] Shang ZX, Yan JX. Clinical effect evaluation of short-term structured diabetes education management. Clinical Medical Engineering, 2016, 23(10):1411-1412.</w:t>
      </w:r>
      <w:r>
        <w:rPr>
          <w:rFonts w:hint="default" w:ascii="Times New Roman" w:hAnsi="Times New Roman" w:eastAsia="Segoe UI" w:cs="Times New Roman"/>
          <w:b w:val="0"/>
          <w:bCs w:val="0"/>
          <w:i w:val="0"/>
          <w:iCs w:val="0"/>
          <w:caps w:val="0"/>
          <w:color w:val="0F1115"/>
          <w:spacing w:val="0"/>
          <w:sz w:val="24"/>
          <w:szCs w:val="24"/>
          <w:shd w:val="clear" w:fill="FFFFFF"/>
        </w:rPr>
        <w:br w:type="textWrapping"/>
      </w:r>
      <w:r>
        <w:rPr>
          <w:rFonts w:hint="default" w:ascii="Times New Roman" w:hAnsi="Times New Roman" w:eastAsia="Segoe UI" w:cs="Times New Roman"/>
          <w:b w:val="0"/>
          <w:bCs w:val="0"/>
          <w:i w:val="0"/>
          <w:iCs w:val="0"/>
          <w:caps w:val="0"/>
          <w:color w:val="0F1115"/>
          <w:spacing w:val="0"/>
          <w:sz w:val="24"/>
          <w:szCs w:val="24"/>
          <w:shd w:val="clear" w:fill="FFFFFF"/>
        </w:rPr>
        <w:t>[3] Chinese Diabetes Society. Chinese guideline for the prevention and treatment of type 2 diabetes (2013 edition). Chinese Journal of Diabetes, 2014, 22 Appendix.</w:t>
      </w:r>
      <w:r>
        <w:rPr>
          <w:rFonts w:hint="default" w:ascii="Times New Roman" w:hAnsi="Times New Roman" w:eastAsia="Segoe UI" w:cs="Times New Roman"/>
          <w:b w:val="0"/>
          <w:bCs w:val="0"/>
          <w:i w:val="0"/>
          <w:iCs w:val="0"/>
          <w:caps w:val="0"/>
          <w:color w:val="0F1115"/>
          <w:spacing w:val="0"/>
          <w:sz w:val="24"/>
          <w:szCs w:val="24"/>
          <w:shd w:val="clear" w:fill="FFFFFF"/>
        </w:rPr>
        <w:br w:type="textWrapping"/>
      </w:r>
      <w:r>
        <w:rPr>
          <w:rFonts w:hint="default" w:ascii="Times New Roman" w:hAnsi="Times New Roman" w:eastAsia="Segoe UI" w:cs="Times New Roman"/>
          <w:b w:val="0"/>
          <w:bCs w:val="0"/>
          <w:i w:val="0"/>
          <w:iCs w:val="0"/>
          <w:caps w:val="0"/>
          <w:color w:val="0F1115"/>
          <w:spacing w:val="0"/>
          <w:sz w:val="24"/>
          <w:szCs w:val="24"/>
          <w:shd w:val="clear" w:fill="FFFFFF"/>
        </w:rPr>
        <w:t>[4] Liu YL, Li MZ, Jiang H. Preliminary practice of developing a structured treatment and education program for non-insulin-treated type 2 diabetes patients. Chinese Journal of Diabetes, 2016, 24(7):638-644.</w:t>
      </w:r>
      <w:r>
        <w:rPr>
          <w:rFonts w:hint="default" w:ascii="Times New Roman" w:hAnsi="Times New Roman" w:eastAsia="Segoe UI" w:cs="Times New Roman"/>
          <w:b w:val="0"/>
          <w:bCs w:val="0"/>
          <w:i w:val="0"/>
          <w:iCs w:val="0"/>
          <w:caps w:val="0"/>
          <w:color w:val="0F1115"/>
          <w:spacing w:val="0"/>
          <w:sz w:val="24"/>
          <w:szCs w:val="24"/>
          <w:shd w:val="clear" w:fill="FFFFFF"/>
        </w:rPr>
        <w:br w:type="textWrapping"/>
      </w:r>
      <w:r>
        <w:rPr>
          <w:rFonts w:hint="default" w:ascii="Times New Roman" w:hAnsi="Times New Roman" w:eastAsia="Segoe UI" w:cs="Times New Roman"/>
          <w:b w:val="0"/>
          <w:bCs w:val="0"/>
          <w:i w:val="0"/>
          <w:iCs w:val="0"/>
          <w:caps w:val="0"/>
          <w:color w:val="0F1115"/>
          <w:spacing w:val="0"/>
          <w:sz w:val="24"/>
          <w:szCs w:val="24"/>
          <w:shd w:val="clear" w:fill="FFFFFF"/>
        </w:rPr>
        <w:t>[5] Liu KK, Li MZ, Jiang H, et al. Development of a structured treatment and education program for insulin-treated type 2 diabetes patients. Chinese General Practice, 2018, 21(8):896-901.</w:t>
      </w:r>
      <w:r>
        <w:rPr>
          <w:rFonts w:hint="default" w:ascii="Times New Roman" w:hAnsi="Times New Roman" w:eastAsia="Segoe UI" w:cs="Times New Roman"/>
          <w:b w:val="0"/>
          <w:bCs w:val="0"/>
          <w:i w:val="0"/>
          <w:iCs w:val="0"/>
          <w:caps w:val="0"/>
          <w:color w:val="0F1115"/>
          <w:spacing w:val="0"/>
          <w:sz w:val="24"/>
          <w:szCs w:val="24"/>
          <w:shd w:val="clear" w:fill="FFFFFF"/>
        </w:rPr>
        <w:br w:type="textWrapping"/>
      </w:r>
      <w:r>
        <w:rPr>
          <w:rFonts w:hint="default" w:ascii="Times New Roman" w:hAnsi="Times New Roman" w:eastAsia="Segoe UI" w:cs="Times New Roman"/>
          <w:b w:val="0"/>
          <w:bCs w:val="0"/>
          <w:i w:val="0"/>
          <w:iCs w:val="0"/>
          <w:caps w:val="0"/>
          <w:color w:val="0F1115"/>
          <w:spacing w:val="0"/>
          <w:sz w:val="24"/>
          <w:szCs w:val="24"/>
          <w:shd w:val="clear" w:fill="FFFFFF"/>
        </w:rPr>
        <w:t>[6] Liu KK, Yan MZ, Jiang H, et al. Development of a structured treatment and education program for insulin-treated type 2 diabetes patients. Chinese General Practice, 2018, 21(08):896-901.</w:t>
      </w:r>
      <w:r>
        <w:rPr>
          <w:rFonts w:hint="default" w:ascii="Times New Roman" w:hAnsi="Times New Roman" w:eastAsia="Segoe UI" w:cs="Times New Roman"/>
          <w:b w:val="0"/>
          <w:bCs w:val="0"/>
          <w:i w:val="0"/>
          <w:iCs w:val="0"/>
          <w:caps w:val="0"/>
          <w:color w:val="0F1115"/>
          <w:spacing w:val="0"/>
          <w:sz w:val="24"/>
          <w:szCs w:val="24"/>
          <w:shd w:val="clear" w:fill="FFFFFF"/>
        </w:rPr>
        <w:br w:type="textWrapping"/>
      </w:r>
      <w:r>
        <w:rPr>
          <w:rFonts w:hint="default" w:ascii="Times New Roman" w:hAnsi="Times New Roman" w:eastAsia="Segoe UI" w:cs="Times New Roman"/>
          <w:b w:val="0"/>
          <w:bCs w:val="0"/>
          <w:i w:val="0"/>
          <w:iCs w:val="0"/>
          <w:caps w:val="0"/>
          <w:color w:val="0F1115"/>
          <w:spacing w:val="0"/>
          <w:sz w:val="24"/>
          <w:szCs w:val="24"/>
          <w:shd w:val="clear" w:fill="FFFFFF"/>
        </w:rPr>
        <w:t>[7] Bei MJ, Li WH. Exploring the impact of CICARE communication model on quality nursing related indicators. Electronic Journal of Practical Clinical Nursing Science, 2018, 3(18):156.</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522"/>
      </w:tblGrid>
      <w:tr w14:paraId="232B8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shd w:val="clear" w:color="auto" w:fill="auto"/>
            <w:vAlign w:val="top"/>
          </w:tcPr>
          <w:p w14:paraId="51A9638D">
            <w:pPr>
              <w:pStyle w:val="4"/>
              <w:keepNext w:val="0"/>
              <w:keepLines w:val="0"/>
              <w:pageBreakBefore w:val="0"/>
              <w:widowControl/>
              <w:suppressLineNumbers w:val="0"/>
              <w:shd w:val="clear" w:fill="FFFFFF"/>
              <w:kinsoku/>
              <w:wordWrap/>
              <w:overflowPunct/>
              <w:topLinePunct w:val="0"/>
              <w:autoSpaceDN/>
              <w:bidi w:val="0"/>
              <w:adjustRightInd/>
              <w:snapToGrid/>
              <w:spacing w:before="0" w:beforeAutospacing="0" w:after="0" w:afterAutospacing="0" w:line="360" w:lineRule="auto"/>
              <w:ind w:right="0"/>
              <w:textAlignment w:val="auto"/>
              <w:rPr>
                <w:rFonts w:hint="default" w:ascii="Times New Roman" w:hAnsi="Times New Roman" w:eastAsia="Segoe UI" w:cs="Times New Roman"/>
                <w:b/>
                <w:bCs/>
                <w:i w:val="0"/>
                <w:iCs w:val="0"/>
                <w:caps w:val="0"/>
                <w:color w:val="0F1115"/>
                <w:spacing w:val="0"/>
                <w:sz w:val="24"/>
                <w:szCs w:val="24"/>
              </w:rPr>
            </w:pPr>
            <w:r>
              <w:rPr>
                <w:rStyle w:val="8"/>
                <w:rFonts w:hint="default" w:ascii="Times New Roman" w:hAnsi="Times New Roman" w:eastAsia="Segoe UI" w:cs="Times New Roman"/>
                <w:b/>
                <w:bCs/>
                <w:i w:val="0"/>
                <w:iCs w:val="0"/>
                <w:caps w:val="0"/>
                <w:color w:val="0F1115"/>
                <w:spacing w:val="0"/>
                <w:sz w:val="24"/>
                <w:szCs w:val="24"/>
                <w:shd w:val="clear" w:fill="FFFFFF"/>
              </w:rPr>
              <w:t>Instructor’s Comments:</w:t>
            </w:r>
          </w:p>
          <w:p w14:paraId="5CB045F7">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color w:val="000000"/>
                <w:kern w:val="2"/>
                <w:sz w:val="24"/>
                <w:szCs w:val="24"/>
              </w:rPr>
            </w:pPr>
            <w:r>
              <w:rPr>
                <w:rFonts w:hint="default" w:ascii="Times New Roman" w:hAnsi="Times New Roman" w:eastAsia="Segoe UI" w:cs="Times New Roman"/>
                <w:b w:val="0"/>
                <w:bCs w:val="0"/>
                <w:i w:val="0"/>
                <w:iCs w:val="0"/>
                <w:caps w:val="0"/>
                <w:color w:val="0F1115"/>
                <w:spacing w:val="0"/>
                <w:sz w:val="24"/>
                <w:szCs w:val="24"/>
                <w:shd w:val="clear" w:fill="FFFFFF"/>
              </w:rPr>
              <w:t xml:space="preserve">Yaqiong, I am very pleased to see the in-depth thinking and practice you put into the diabetes health education model during your endocrinology internship. Your work shows a </w:t>
            </w:r>
            <w:bookmarkStart w:id="1" w:name="_GoBack"/>
            <w:bookmarkEnd w:id="1"/>
            <w:r>
              <w:rPr>
                <w:rFonts w:hint="default" w:ascii="Times New Roman" w:hAnsi="Times New Roman" w:eastAsia="Segoe UI" w:cs="Times New Roman"/>
                <w:b w:val="0"/>
                <w:bCs w:val="0"/>
                <w:i w:val="0"/>
                <w:iCs w:val="0"/>
                <w:caps w:val="0"/>
                <w:color w:val="0F1115"/>
                <w:spacing w:val="0"/>
                <w:sz w:val="24"/>
                <w:szCs w:val="24"/>
                <w:shd w:val="clear" w:fill="FFFFFF"/>
              </w:rPr>
              <w:t>deep understanding of this field and strong practical skills. By combining the STEP structured treatment and education model with the CICARE process-based communication model, you successfully improved patients’ knowledge and self-management. This demonstrates your growth and independent thinking in both academic exploration and clinical practice. In implementing the education, you not only focused on structuring the content but also valued effective nurse-patient communication, which is key to better outcomes. Although you met challenges, like insufficient communication skills, you promptly reflected and adjusted your strategy. This is a very valuable ability. I believe that in future work, you will pay more attention to developing communication skills and creating new educational methods, so you can deliver health education more effectively and achieve even better results. We are very confident in your future work and look forward to seeing more innovation and progress from you!</w:t>
            </w:r>
          </w:p>
        </w:tc>
      </w:tr>
    </w:tbl>
    <w:p w14:paraId="19DAE627">
      <w:pPr>
        <w:keepNext w:val="0"/>
        <w:keepLines w:val="0"/>
        <w:pageBreakBefore w:val="0"/>
        <w:kinsoku/>
        <w:wordWrap/>
        <w:overflowPunct/>
        <w:topLinePunct w:val="0"/>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D98"/>
    <w:rsid w:val="00084D98"/>
    <w:rsid w:val="198D5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keepNext w:val="0"/>
      <w:keepLines w:val="0"/>
      <w:widowControl w:val="0"/>
      <w:suppressLineNumbers w:val="0"/>
      <w:spacing w:before="0" w:beforeAutospacing="1" w:after="0" w:afterAutospacing="1"/>
      <w:jc w:val="left"/>
      <w:outlineLvl w:val="2"/>
    </w:pPr>
    <w:rPr>
      <w:rFonts w:hint="eastAsia" w:ascii="宋体" w:hAnsi="宋体" w:eastAsia="宋体" w:cs="宋体"/>
      <w:b/>
      <w:bCs/>
      <w:kern w:val="0"/>
      <w:sz w:val="27"/>
      <w:szCs w:val="27"/>
      <w:lang w:val="en-US" w:eastAsia="zh-CN" w:bidi="ar"/>
    </w:rPr>
  </w:style>
  <w:style w:type="character" w:default="1" w:styleId="7">
    <w:name w:val="Default Paragraph Font"/>
    <w:semiHidden/>
    <w:uiPriority w:val="0"/>
  </w:style>
  <w:style w:type="table" w:default="1" w:styleId="5">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header"/>
    <w:basedOn w:val="1"/>
    <w:uiPriority w:val="0"/>
    <w:pPr>
      <w:keepNext w:val="0"/>
      <w:keepLines w:val="0"/>
      <w:widowControl w:val="0"/>
      <w:suppressLineNumbers w:val="0"/>
      <w:pBdr>
        <w:top w:val="none" w:color="auto" w:sz="0" w:space="0"/>
        <w:left w:val="none" w:color="auto" w:sz="0" w:space="0"/>
        <w:bottom w:val="none" w:color="auto" w:sz="0" w:space="0"/>
        <w:right w:val="none" w:color="auto" w:sz="0" w:space="0"/>
      </w:pBdr>
      <w:tabs>
        <w:tab w:val="center" w:pos="4153"/>
        <w:tab w:val="right" w:pos="8306"/>
      </w:tabs>
      <w:snapToGrid w:val="0"/>
      <w:spacing w:before="0" w:beforeAutospacing="0" w:after="0" w:afterAutospacing="0"/>
      <w:ind w:left="0" w:right="0"/>
      <w:jc w:val="both"/>
    </w:pPr>
    <w:rPr>
      <w:rFonts w:hint="default" w:ascii="Calibri" w:hAnsi="Calibri" w:eastAsia="宋体" w:cs="Times New Roman"/>
      <w:kern w:val="2"/>
      <w:sz w:val="18"/>
      <w:szCs w:val="18"/>
      <w:lang w:val="en-US" w:eastAsia="zh-CN" w:bidi="ar"/>
    </w:rPr>
  </w:style>
  <w:style w:type="paragraph" w:styleId="4">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6">
    <w:name w:val="Table Grid"/>
    <w:basedOn w:val="5"/>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8">
    <w:name w:val="Strong"/>
    <w:basedOn w:val="7"/>
    <w:qFormat/>
    <w:uiPriority w:val="0"/>
    <w:rPr>
      <w:b/>
    </w:rPr>
  </w:style>
  <w:style w:type="paragraph" w:customStyle="1" w:styleId="9">
    <w:name w:val="Body text|1"/>
    <w:basedOn w:val="1"/>
    <w:qFormat/>
    <w:uiPriority w:val="0"/>
    <w:pPr>
      <w:keepNext w:val="0"/>
      <w:keepLines w:val="0"/>
      <w:widowControl w:val="0"/>
      <w:suppressLineNumbers w:val="0"/>
      <w:spacing w:before="0" w:beforeAutospacing="0" w:after="0" w:afterAutospacing="0" w:line="436" w:lineRule="auto"/>
      <w:ind w:left="0" w:right="0" w:firstLine="400"/>
      <w:jc w:val="both"/>
    </w:pPr>
    <w:rPr>
      <w:rFonts w:hint="eastAsia" w:ascii="宋体" w:hAnsi="宋体" w:eastAsia="宋体" w:cs="宋体"/>
      <w:kern w:val="2"/>
      <w:sz w:val="20"/>
      <w:szCs w:val="20"/>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4678</Words>
  <Characters>5141</Characters>
  <Lines>0</Lines>
  <Paragraphs>0</Paragraphs>
  <TotalTime>155</TotalTime>
  <ScaleCrop>false</ScaleCrop>
  <LinksUpToDate>false</LinksUpToDate>
  <CharactersWithSpaces>5187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2026-04-14T13:26:00Z</dcterms:created>
  <dc:creator>王政瑶</dc:creator>
  <cp:lastModifiedBy>15</cp:lastModifiedBy>
  <dcterms:modified xsi:type="dcterms:W3CDTF">2026-04-24T13:25:39Z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E036A5088D9C4D6DB587FCB9CF98EFAB_11</vt:lpwstr>
  </property>
  <property fmtid="{D5CDD505-2E9C-101B-9397-08002B2CF9AE}" pid="4" name="KSOTemplateDocerSaveRecord">
    <vt:lpwstr>eyJoZGlkIjoiYzNkOTU5NGRiMjk2YTljNjRmMzVhZWY2NjdjNWI0ZGEiLCJ1c2VySWQiOiI2ODkxMDc4MDcifQ==</vt:lpwstr>
  </property>
</Properties>
</file>